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X2925813a656a0be3a333447507a6a342e31d512"/>
    <w:p>
      <w:pPr>
        <w:pStyle w:val="Heading1"/>
      </w:pPr>
      <w:r>
        <w:t xml:space="preserve">Plantilla 1 — Política interna de uso de IA generativa en el despacho</w:t>
      </w:r>
    </w:p>
    <w:p>
      <w:pPr>
        <w:pStyle w:val="FirstParagraph"/>
      </w:pPr>
      <w:r>
        <w:rPr>
          <w:bCs/>
          <w:b/>
        </w:rPr>
        <w:t xml:space="preserve">Despacho:</w:t>
      </w:r>
      <w:r>
        <w:t xml:space="preserve"> </w:t>
      </w:r>
      <w:r>
        <w:t xml:space="preserve">[Nombre completo del despacho]</w:t>
      </w:r>
      <w:r>
        <w:t xml:space="preserve"> </w:t>
      </w:r>
      <w:r>
        <w:rPr>
          <w:bCs/>
          <w:b/>
        </w:rPr>
        <w:t xml:space="preserve">Fecha de vigencia:</w:t>
      </w:r>
      <w:r>
        <w:t xml:space="preserve"> </w:t>
      </w:r>
      <w:r>
        <w:t xml:space="preserve">[DD] de [Mes] de [Año]</w:t>
      </w:r>
      <w:r>
        <w:t xml:space="preserve"> </w:t>
      </w:r>
      <w:r>
        <w:rPr>
          <w:bCs/>
          <w:b/>
        </w:rPr>
        <w:t xml:space="preserve">Última revisión:</w:t>
      </w:r>
      <w:r>
        <w:t xml:space="preserve"> </w:t>
      </w:r>
      <w:r>
        <w:t xml:space="preserve">[Fecha]</w:t>
      </w:r>
      <w:r>
        <w:t xml:space="preserve"> </w:t>
      </w:r>
      <w:r>
        <w:rPr>
          <w:bCs/>
          <w:b/>
        </w:rPr>
        <w:t xml:space="preserve">Responsable:</w:t>
      </w:r>
      <w:r>
        <w:t xml:space="preserve"> </w:t>
      </w:r>
      <w:r>
        <w:t xml:space="preserve">[Socio administrador o equivalente]</w:t>
      </w:r>
    </w:p>
    <w:p>
      <w:r>
        <w:pict>
          <v:rect style="width:0;height:1.5pt" o:hralign="center" o:hrstd="t" o:hr="t"/>
        </w:pict>
      </w:r>
    </w:p>
    <w:bookmarkStart w:id="20" w:name="objeto-y-alcance"/>
    <w:p>
      <w:pPr>
        <w:pStyle w:val="Heading2"/>
      </w:pPr>
      <w:r>
        <w:t xml:space="preserve">1. Objeto y alcance</w:t>
      </w:r>
    </w:p>
    <w:p>
      <w:pPr>
        <w:pStyle w:val="FirstParagraph"/>
      </w:pPr>
      <w:r>
        <w:t xml:space="preserve">Esta política aplica a todo el personal del despacho —socios, asociados,</w:t>
      </w:r>
      <w:r>
        <w:t xml:space="preserve"> </w:t>
      </w:r>
      <w:r>
        <w:t xml:space="preserve">paralegales, personal administrativo y consultores externos— que use o</w:t>
      </w:r>
      <w:r>
        <w:t xml:space="preserve"> </w:t>
      </w:r>
      <w:r>
        <w:t xml:space="preserve">acceda a herramientas de inteligencia artificial generativa</w:t>
      </w:r>
      <w:r>
        <w:t xml:space="preserve"> </w:t>
      </w:r>
      <w:r>
        <w:t xml:space="preserve">(en adelante,</w:t>
      </w:r>
      <w:r>
        <w:t xml:space="preserve"> </w:t>
      </w:r>
      <w:r>
        <w:t xml:space="preserve">“</w:t>
      </w:r>
      <w:r>
        <w:t xml:space="preserve">IA</w:t>
      </w:r>
      <w:r>
        <w:t xml:space="preserve">”</w:t>
      </w:r>
      <w:r>
        <w:t xml:space="preserve">) en el marco de su trabajo profesional.</w:t>
      </w:r>
    </w:p>
    <w:bookmarkEnd w:id="20"/>
    <w:bookmarkStart w:id="21" w:name="herramientas-autorizadas"/>
    <w:p>
      <w:pPr>
        <w:pStyle w:val="Heading2"/>
      </w:pPr>
      <w:r>
        <w:t xml:space="preserve">2. Herramientas autorizadas</w:t>
      </w:r>
    </w:p>
    <w:p>
      <w:pPr>
        <w:pStyle w:val="FirstParagraph"/>
      </w:pPr>
      <w:r>
        <w:t xml:space="preserve">El uso de IA generativa en el despacho se limita a las siguientes</w:t>
      </w:r>
      <w:r>
        <w:t xml:space="preserve"> </w:t>
      </w:r>
      <w:r>
        <w:t xml:space="preserve">herramientas con plan corporativo y garantías contractuales adecuadas: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[Producto 1]</w:t>
      </w:r>
      <w:r>
        <w:t xml:space="preserve"> </w:t>
      </w:r>
      <w:r>
        <w:t xml:space="preserve">([Plan: Team/Enterprise]) — con BAA/DPA firmado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[Producto 2]</w:t>
      </w:r>
      <w:r>
        <w:t xml:space="preserve"> </w:t>
      </w:r>
      <w:r>
        <w:t xml:space="preserve">([Plan]) — con cláusula de no-training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[Producto 3]</w:t>
      </w:r>
      <w:r>
        <w:t xml:space="preserve"> </w:t>
      </w:r>
      <w:r>
        <w:t xml:space="preserve">([Plan])</w:t>
      </w:r>
    </w:p>
    <w:p>
      <w:pPr>
        <w:pStyle w:val="FirstParagraph"/>
      </w:pPr>
      <w:r>
        <w:t xml:space="preserve">El uso de planes individuales o gratuitos (ChatGPT Free, Claude Free,</w:t>
      </w:r>
      <w:r>
        <w:t xml:space="preserve"> </w:t>
      </w:r>
      <w:r>
        <w:t xml:space="preserve">Gemini Free, etc.) con datos de cliente está</w:t>
      </w:r>
      <w:r>
        <w:t xml:space="preserve"> </w:t>
      </w:r>
      <w:r>
        <w:rPr>
          <w:bCs/>
          <w:b/>
        </w:rPr>
        <w:t xml:space="preserve">prohibido</w:t>
      </w:r>
      <w:r>
        <w:t xml:space="preserve"> </w:t>
      </w:r>
      <w:r>
        <w:t xml:space="preserve">bajo esta</w:t>
      </w:r>
      <w:r>
        <w:t xml:space="preserve"> </w:t>
      </w:r>
      <w:r>
        <w:t xml:space="preserve">política.</w:t>
      </w:r>
    </w:p>
    <w:bookmarkEnd w:id="21"/>
    <w:bookmarkStart w:id="22" w:name="datos-prohibidos"/>
    <w:p>
      <w:pPr>
        <w:pStyle w:val="Heading2"/>
      </w:pPr>
      <w:r>
        <w:t xml:space="preserve">3. Datos prohibidos</w:t>
      </w:r>
    </w:p>
    <w:p>
      <w:pPr>
        <w:pStyle w:val="FirstParagraph"/>
      </w:pPr>
      <w:r>
        <w:t xml:space="preserve">Está prohibido pegar a cualquier IA, incluso en planes corporativos</w:t>
      </w:r>
      <w:r>
        <w:t xml:space="preserve"> </w:t>
      </w:r>
      <w:r>
        <w:t xml:space="preserve">autorizados, los siguientes datos sin sanitización previa:</w:t>
      </w:r>
    </w:p>
    <w:p>
      <w:pPr>
        <w:numPr>
          <w:ilvl w:val="0"/>
          <w:numId w:val="1002"/>
        </w:numPr>
        <w:pStyle w:val="Compact"/>
      </w:pPr>
      <w:r>
        <w:t xml:space="preserve">Nombres completos, RFC, CURP, clave de elector INE</w:t>
      </w:r>
    </w:p>
    <w:p>
      <w:pPr>
        <w:numPr>
          <w:ilvl w:val="0"/>
          <w:numId w:val="1002"/>
        </w:numPr>
        <w:pStyle w:val="Compact"/>
      </w:pPr>
      <w:r>
        <w:t xml:space="preserve">Montos exactos, fechas precisas de operaciones</w:t>
      </w:r>
    </w:p>
    <w:p>
      <w:pPr>
        <w:numPr>
          <w:ilvl w:val="0"/>
          <w:numId w:val="1002"/>
        </w:numPr>
        <w:pStyle w:val="Compact"/>
      </w:pPr>
      <w:r>
        <w:t xml:space="preserve">Direcciones completas, códigos postales, números telefónicos</w:t>
      </w:r>
    </w:p>
    <w:p>
      <w:pPr>
        <w:numPr>
          <w:ilvl w:val="0"/>
          <w:numId w:val="1002"/>
        </w:numPr>
        <w:pStyle w:val="Compact"/>
      </w:pPr>
      <w:r>
        <w:t xml:space="preserve">Folios de expedientes, números de identificación interna</w:t>
      </w:r>
    </w:p>
    <w:p>
      <w:pPr>
        <w:numPr>
          <w:ilvl w:val="0"/>
          <w:numId w:val="1002"/>
        </w:numPr>
        <w:pStyle w:val="Compact"/>
      </w:pPr>
      <w:r>
        <w:t xml:space="preserve">Cualquier dato que un cliente razonable consideraría confidencial</w:t>
      </w:r>
    </w:p>
    <w:bookmarkEnd w:id="22"/>
    <w:bookmarkStart w:id="24" w:name="proceso-de-verificación-obligatoria"/>
    <w:p>
      <w:pPr>
        <w:pStyle w:val="Heading2"/>
      </w:pPr>
      <w:r>
        <w:t xml:space="preserve">4. Proceso de verificación obligatoria</w:t>
      </w:r>
    </w:p>
    <w:p>
      <w:pPr>
        <w:pStyle w:val="FirstParagraph"/>
      </w:pPr>
      <w:r>
        <w:t xml:space="preserve">Antes de incorporar cualquier output de IA en un escrito o entrega al</w:t>
      </w:r>
      <w:r>
        <w:t xml:space="preserve"> </w:t>
      </w:r>
      <w:r>
        <w:t xml:space="preserve">cliente, el abogado responsable debe:</w:t>
      </w:r>
    </w:p>
    <w:p>
      <w:pPr>
        <w:numPr>
          <w:ilvl w:val="0"/>
          <w:numId w:val="1003"/>
        </w:numPr>
        <w:pStyle w:val="Compact"/>
      </w:pPr>
      <w:r>
        <w:t xml:space="preserve">Verificar el 100% de las citas de jurisprudencia y normativa contra</w:t>
      </w:r>
      <w:r>
        <w:t xml:space="preserve"> </w:t>
      </w:r>
      <w:r>
        <w:t xml:space="preserve">fuente oficial (SCJN, DOF, CourtListener, etc.)</w:t>
      </w:r>
    </w:p>
    <w:p>
      <w:pPr>
        <w:numPr>
          <w:ilvl w:val="0"/>
          <w:numId w:val="1003"/>
        </w:numPr>
        <w:pStyle w:val="Compact"/>
      </w:pPr>
      <w:r>
        <w:t xml:space="preserve">Revisar fechas, montos y nombres propios manualmente</w:t>
      </w:r>
    </w:p>
    <w:p>
      <w:pPr>
        <w:numPr>
          <w:ilvl w:val="0"/>
          <w:numId w:val="1003"/>
        </w:numPr>
        <w:pStyle w:val="Compact"/>
      </w:pPr>
      <w:r>
        <w:t xml:space="preserve">Confirmar que el contenido refleja la posición jurídica del despacho,</w:t>
      </w:r>
      <w:r>
        <w:t xml:space="preserve"> </w:t>
      </w:r>
      <w:r>
        <w:t xml:space="preserve">no la generalización del modelo</w:t>
      </w:r>
    </w:p>
    <w:p>
      <w:pPr>
        <w:numPr>
          <w:ilvl w:val="0"/>
          <w:numId w:val="1003"/>
        </w:numPr>
        <w:pStyle w:val="Compact"/>
      </w:pPr>
      <w:r>
        <w:t xml:space="preserve">Reescribir al menos un párrafo para preservar voz autoral</w:t>
      </w:r>
    </w:p>
    <w:p>
      <w:pPr>
        <w:numPr>
          <w:ilvl w:val="0"/>
          <w:numId w:val="1003"/>
        </w:numPr>
        <w:pStyle w:val="Compact"/>
      </w:pPr>
      <w:r>
        <w:t xml:space="preserve">Aplicar el</w:t>
      </w:r>
      <w:r>
        <w:t xml:space="preserve"> </w:t>
      </w:r>
      <w:hyperlink r:id="rId23">
        <w:r>
          <w:rPr>
            <w:rStyle w:val="Hyperlink"/>
          </w:rPr>
          <w:t xml:space="preserve">Checklist de validación pre-firma</w:t>
        </w:r>
      </w:hyperlink>
    </w:p>
    <w:bookmarkEnd w:id="24"/>
    <w:bookmarkStart w:id="25" w:name="comunicación-con-cliente"/>
    <w:p>
      <w:pPr>
        <w:pStyle w:val="Heading2"/>
      </w:pPr>
      <w:r>
        <w:t xml:space="preserve">5. Comunicación con cliente</w:t>
      </w:r>
    </w:p>
    <w:p>
      <w:pPr>
        <w:pStyle w:val="FirstParagraph"/>
      </w:pPr>
      <w:r>
        <w:t xml:space="preserve">La cláusula informativa estándar de uso de IA está incluida en todo</w:t>
      </w:r>
      <w:r>
        <w:t xml:space="preserve"> </w:t>
      </w:r>
      <w:r>
        <w:rPr>
          <w:iCs/>
          <w:i/>
        </w:rPr>
        <w:t xml:space="preserve">engagement letter</w:t>
      </w:r>
      <w:r>
        <w:t xml:space="preserve"> </w:t>
      </w:r>
      <w:r>
        <w:t xml:space="preserve">desde [Fecha]. Para asuntos donde el uso sea</w:t>
      </w:r>
      <w:r>
        <w:t xml:space="preserve"> </w:t>
      </w:r>
      <w:r>
        <w:t xml:space="preserve">extensivo, atípico o el cliente lo solicite, se redacta comunicación</w:t>
      </w:r>
      <w:r>
        <w:t xml:space="preserve"> </w:t>
      </w:r>
      <w:r>
        <w:t xml:space="preserve">específica adicional con la Plantilla 6.</w:t>
      </w:r>
    </w:p>
    <w:bookmarkEnd w:id="25"/>
    <w:bookmarkStart w:id="26" w:name="régimen-escalonado-de-incidentes"/>
    <w:p>
      <w:pPr>
        <w:pStyle w:val="Heading2"/>
      </w:pPr>
      <w:r>
        <w:t xml:space="preserve">6. Régimen escalonado de incidentes</w:t>
      </w:r>
    </w:p>
    <w:p>
      <w:pPr>
        <w:pStyle w:val="FirstParagraph"/>
      </w:pPr>
      <w:r>
        <w:t xml:space="preserve">Si un abogado detecta que una alucinación o error material de IA llegó</w:t>
      </w:r>
      <w:r>
        <w:t xml:space="preserve"> </w:t>
      </w:r>
      <w:r>
        <w:t xml:space="preserve">al cliente o al tribunal, debe escalarlo al socio responsable dentro</w:t>
      </w:r>
      <w:r>
        <w:t xml:space="preserve"> </w:t>
      </w:r>
      <w:r>
        <w:t xml:space="preserve">de las 24 horas siguientes. El socio evalúa caso por caso si procede: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(a)</w:t>
      </w:r>
      <w:r>
        <w:t xml:space="preserve"> </w:t>
      </w:r>
      <w:r>
        <w:t xml:space="preserve">Comunicación específica al cliente — cuando la consecuencia material lo amerite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(b)</w:t>
      </w:r>
      <w:r>
        <w:t xml:space="preserve"> </w:t>
      </w:r>
      <w:r>
        <w:t xml:space="preserve">Uso del recurso o medio de defensa procesal apropiado</w:t>
      </w:r>
      <w:r>
        <w:t xml:space="preserve"> </w:t>
      </w:r>
      <w:r>
        <w:t xml:space="preserve">(escrito supletorio, fe de erratas, recurso de revocación, etc.)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(c)</w:t>
      </w:r>
      <w:r>
        <w:t xml:space="preserve"> </w:t>
      </w:r>
      <w:r>
        <w:t xml:space="preserve">Manejo interno sin comunicación externa — cuando el error fue</w:t>
      </w:r>
      <w:r>
        <w:t xml:space="preserve"> </w:t>
      </w:r>
      <w:r>
        <w:t xml:space="preserve">detectado y corregido sin consecuencia material para el cliente o</w:t>
      </w:r>
      <w:r>
        <w:t xml:space="preserve"> </w:t>
      </w:r>
      <w:r>
        <w:t xml:space="preserve">tribunal</w:t>
      </w:r>
    </w:p>
    <w:p>
      <w:pPr>
        <w:pStyle w:val="FirstParagraph"/>
      </w:pPr>
      <w:r>
        <w:t xml:space="preserve">La práctica jurídica contempla estos mecanismos como parte del ejercicio</w:t>
      </w:r>
      <w:r>
        <w:t xml:space="preserve"> </w:t>
      </w:r>
      <w:r>
        <w:t xml:space="preserve">normal del oficio; este régimen los formaliza específicamente para</w:t>
      </w:r>
      <w:r>
        <w:t xml:space="preserve"> </w:t>
      </w:r>
      <w:r>
        <w:t xml:space="preserve">errores de origen IA.</w:t>
      </w:r>
    </w:p>
    <w:bookmarkEnd w:id="26"/>
    <w:bookmarkStart w:id="27" w:name="bitácora-de-uso"/>
    <w:p>
      <w:pPr>
        <w:pStyle w:val="Heading2"/>
      </w:pPr>
      <w:r>
        <w:t xml:space="preserve">7. Bitácora de uso</w:t>
      </w:r>
    </w:p>
    <w:p>
      <w:pPr>
        <w:pStyle w:val="FirstParagraph"/>
      </w:pPr>
      <w:r>
        <w:t xml:space="preserve">Cada usuario activo de IA mantiene bitácora semanal con: tarea,</w:t>
      </w:r>
      <w:r>
        <w:t xml:space="preserve"> </w:t>
      </w:r>
      <w:r>
        <w:t xml:space="preserve">herramienta, tiempo ahorrado estimado, errores detectados. Reporte</w:t>
      </w:r>
      <w:r>
        <w:t xml:space="preserve"> </w:t>
      </w:r>
      <w:r>
        <w:t xml:space="preserve">mensual al</w:t>
      </w:r>
      <w:r>
        <w:t xml:space="preserve"> </w:t>
      </w:r>
      <w:r>
        <w:rPr>
          <w:iCs/>
          <w:i/>
        </w:rPr>
        <w:t xml:space="preserve">champion</w:t>
      </w:r>
      <w:r>
        <w:t xml:space="preserve"> </w:t>
      </w:r>
      <w:r>
        <w:t xml:space="preserve">del despacho. Plantilla en</w:t>
      </w:r>
      <w:r>
        <w:t xml:space="preserve"> </w:t>
      </w:r>
      <w:r>
        <w:rPr>
          <w:rStyle w:val="VerbatimChar"/>
        </w:rPr>
        <w:t xml:space="preserve">migaceta.com/libros/ia-abogados/plantillas</w:t>
      </w:r>
      <w:r>
        <w:t xml:space="preserve"> </w:t>
      </w:r>
      <w:r>
        <w:t xml:space="preserve">(Plantilla 4).</w:t>
      </w:r>
    </w:p>
    <w:bookmarkEnd w:id="27"/>
    <w:bookmarkStart w:id="28" w:name="capacitación"/>
    <w:p>
      <w:pPr>
        <w:pStyle w:val="Heading2"/>
      </w:pPr>
      <w:r>
        <w:t xml:space="preserve">8. Capacitación</w:t>
      </w:r>
    </w:p>
    <w:p>
      <w:pPr>
        <w:pStyle w:val="FirstParagraph"/>
      </w:pPr>
      <w:r>
        <w:t xml:space="preserve">Toda persona con acceso a herramientas autorizadas debe completar la</w:t>
      </w:r>
      <w:r>
        <w:t xml:space="preserve"> </w:t>
      </w:r>
      <w:r>
        <w:t xml:space="preserve">capacitación interna de cuatro horas antes de su primer uso profesional.</w:t>
      </w:r>
      <w:r>
        <w:t xml:space="preserve"> </w:t>
      </w:r>
      <w:r>
        <w:t xml:space="preserve">Renovación anual obligatoria.</w:t>
      </w:r>
    </w:p>
    <w:bookmarkEnd w:id="28"/>
    <w:bookmarkStart w:id="29" w:name="revisión"/>
    <w:p>
      <w:pPr>
        <w:pStyle w:val="Heading2"/>
      </w:pPr>
      <w:r>
        <w:t xml:space="preserve">9. Revisión</w:t>
      </w:r>
    </w:p>
    <w:p>
      <w:pPr>
        <w:pStyle w:val="FirstParagraph"/>
      </w:pPr>
      <w:r>
        <w:t xml:space="preserve">Esta política se revisa cada seis meses por el comité de adopción</w:t>
      </w:r>
      <w:r>
        <w:t xml:space="preserve"> </w:t>
      </w:r>
      <w:r>
        <w:t xml:space="preserve">tecnológica del despacho.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Firma del personal:</w:t>
      </w:r>
    </w:p>
    <w:p>
      <w:pPr>
        <w:pStyle w:val="BodyText"/>
      </w:pPr>
      <w:r>
        <w:t xml:space="preserve">He leído, entendido y me obligo a cumplir esta política.</w:t>
      </w:r>
    </w:p>
    <w:p>
      <w:pPr>
        <w:pStyle w:val="BodyText"/>
      </w:pPr>
      <w:r>
        <w:t xml:space="preserve">Nombre: _________________________________________</w:t>
      </w:r>
    </w:p>
    <w:p>
      <w:pPr>
        <w:pStyle w:val="BodyText"/>
      </w:pPr>
      <w:r>
        <w:t xml:space="preserve">Firma: __________________________________________</w:t>
      </w:r>
    </w:p>
    <w:p>
      <w:pPr>
        <w:pStyle w:val="BodyText"/>
      </w:pPr>
      <w:r>
        <w:t xml:space="preserve">Fecha: __________________________________________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Plantilla operativa del libro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Inteligencia Artificial para Abogados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(Cortina Ceballos · Cortina Ceballos · Quezada Salinas, 2026). Licencia CC BY 4.0 — modificación y redistribución con atribución permitidas.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proofState w:grammar="clean" w:spelling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s://migaceta.com/libros/ia-abogados/checklist-validacio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migaceta.com/libros/ia-abogados/checklist-validacio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2026-05-12T07:38:52Z</dcterms:created>
  <dcterms:modified xsi:type="dcterms:W3CDTF">2026-05-12T07:38:52Z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