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f12adc35a215e9d820131c602441b1cafa1ba1b"/>
    <w:p>
      <w:pPr>
        <w:pStyle w:val="Heading1"/>
      </w:pPr>
      <w:r>
        <w:t xml:space="preserve">Plantilla 4 — Checklist de auditoría BMA + LFPDPPP</w:t>
      </w:r>
    </w:p>
    <w:p>
      <w:pPr>
        <w:pStyle w:val="BlockText"/>
      </w:pPr>
      <w:r>
        <w:rPr>
          <w:bCs/>
          <w:b/>
        </w:rPr>
        <w:t xml:space="preserve">Propósito.</w:t>
      </w:r>
      <w:r>
        <w:t xml:space="preserve"> </w:t>
      </w:r>
      <w:r>
        <w:t xml:space="preserve">Revisión trimestral interna de cumplimiento. Si el despacho responde</w:t>
      </w:r>
      <w:r>
        <w:t xml:space="preserve"> </w:t>
      </w:r>
      <w:r>
        <w:t xml:space="preserve">“</w:t>
      </w:r>
      <w:r>
        <w:t xml:space="preserve">no</w:t>
      </w:r>
      <w:r>
        <w:t xml:space="preserve">”</w:t>
      </w:r>
      <w:r>
        <w:t xml:space="preserve"> </w:t>
      </w:r>
      <w:r>
        <w:t xml:space="preserve">a más de tres preguntas, tiene un problema de</w:t>
      </w:r>
      <w:r>
        <w:t xml:space="preserve"> </w:t>
      </w:r>
      <w:r>
        <w:rPr>
          <w:iCs/>
          <w:i/>
        </w:rPr>
        <w:t xml:space="preserve">compliance</w:t>
      </w:r>
      <w:r>
        <w:t xml:space="preserve"> </w:t>
      </w:r>
      <w:r>
        <w:t xml:space="preserve">activo que requiere atención inmediata.</w:t>
      </w:r>
    </w:p>
    <w:p>
      <w:pPr>
        <w:pStyle w:val="BlockText"/>
      </w:pPr>
      <w:r>
        <w:t xml:space="preserve">Licencia: CC BY 4.0 —</w:t>
      </w:r>
      <w:r>
        <w:t xml:space="preserve"> </w:t>
      </w:r>
      <w:r>
        <w:rPr>
          <w:iCs/>
          <w:i/>
        </w:rPr>
        <w:t xml:space="preserve">Inteligencia Artificial para Abogados — Manual del mercado USA-México</w:t>
      </w:r>
      <w:r>
        <w:t xml:space="preserve"> </w:t>
      </w:r>
      <w:r>
        <w:t xml:space="preserve">(2026). Cortina Ceballos · Cortina Ceballos · Quezada Salinas.</w:t>
      </w:r>
    </w:p>
    <w:p>
      <w:r>
        <w:pict>
          <v:rect style="width:0;height:1.5pt" o:hralign="center" o:hrstd="t" o:hr="t"/>
        </w:pict>
      </w:r>
    </w:p>
    <w:bookmarkStart w:id="20" w:name="periodicidad-y-alcance"/>
    <w:p>
      <w:pPr>
        <w:pStyle w:val="Heading2"/>
      </w:pPr>
      <w:r>
        <w:t xml:space="preserve">Periodicidad y alcance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Frecuencia recomendada:</w:t>
      </w:r>
      <w:r>
        <w:t xml:space="preserve"> </w:t>
      </w:r>
      <w:r>
        <w:t xml:space="preserve">trimestral, con revisión sumaria mensual.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Responsable:</w:t>
      </w:r>
      <w:r>
        <w:t xml:space="preserve"> </w:t>
      </w:r>
      <w:r>
        <w:t xml:space="preserve">socio responsable de la supervisión del uso de IA en el despacho.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Documentación:</w:t>
      </w:r>
      <w:r>
        <w:t xml:space="preserve"> </w:t>
      </w:r>
      <w:r>
        <w:t xml:space="preserve">archivar resultados firmados de cada trimestre. Conservar por seis años (alineado con plazos de prescripción profesional).</w:t>
      </w:r>
    </w:p>
    <w:p>
      <w:r>
        <w:pict>
          <v:rect style="width:0;height:1.5pt" o:hralign="center" o:hrstd="t" o:hr="t"/>
        </w:pict>
      </w:r>
    </w:p>
    <w:bookmarkEnd w:id="20"/>
    <w:bookmarkStart w:id="21" w:name="bloque-1-lineamientos-bma"/>
    <w:p>
      <w:pPr>
        <w:pStyle w:val="Heading2"/>
      </w:pPr>
      <w:r>
        <w:t xml:space="preserve">Bloque 1 — Lineamientos BMA</w:t>
      </w:r>
    </w:p>
    <w:p>
      <w:pPr>
        <w:numPr>
          <w:ilvl w:val="0"/>
          <w:numId w:val="1002"/>
        </w:numPr>
        <w:pStyle w:val="Compact"/>
      </w:pPr>
      <w:r>
        <w:t xml:space="preserve">☐ ¿Existe política interna de IA escrita y firmada por todo el personal con acceso a herramientas?</w:t>
      </w:r>
    </w:p>
    <w:p>
      <w:pPr>
        <w:numPr>
          <w:ilvl w:val="0"/>
          <w:numId w:val="1002"/>
        </w:numPr>
        <w:pStyle w:val="Compact"/>
      </w:pPr>
      <w:r>
        <w:t xml:space="preserve">☐ ¿Los planes de IA usados son</w:t>
      </w:r>
      <w:r>
        <w:t xml:space="preserve"> </w:t>
      </w:r>
      <w:r>
        <w:rPr>
          <w:bCs/>
          <w:b/>
        </w:rPr>
        <w:t xml:space="preserve">Enterprise</w:t>
      </w:r>
      <w:r>
        <w:t xml:space="preserve"> </w:t>
      </w:r>
      <w:r>
        <w:t xml:space="preserve">con BAA/DPA, no</w:t>
      </w:r>
      <w:r>
        <w:t xml:space="preserve"> </w:t>
      </w:r>
      <w:r>
        <w:rPr>
          <w:iCs/>
          <w:i/>
        </w:rPr>
        <w:t xml:space="preserve">consumer</w:t>
      </w:r>
      <w:r>
        <w:t xml:space="preserve"> </w:t>
      </w:r>
      <w:r>
        <w:t xml:space="preserve">ni</w:t>
      </w:r>
      <w:r>
        <w:t xml:space="preserve"> </w:t>
      </w:r>
      <w:r>
        <w:rPr>
          <w:iCs/>
          <w:i/>
        </w:rPr>
        <w:t xml:space="preserve">free tier</w:t>
      </w:r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☐ ¿Hay capacitación documentada para cada usuario activo, antes de su primer uso profesional y renovada anualmente?</w:t>
      </w:r>
    </w:p>
    <w:p>
      <w:pPr>
        <w:numPr>
          <w:ilvl w:val="0"/>
          <w:numId w:val="1002"/>
        </w:numPr>
        <w:pStyle w:val="Compact"/>
      </w:pPr>
      <w:r>
        <w:t xml:space="preserve">☐ ¿Se verifica el 100% de las citas legales producidas por IA (jurisprudencia, doctrina, casos) antes de presentar al cliente o al tribunal?</w:t>
      </w:r>
    </w:p>
    <w:p>
      <w:pPr>
        <w:numPr>
          <w:ilvl w:val="0"/>
          <w:numId w:val="1002"/>
        </w:numPr>
        <w:pStyle w:val="Compact"/>
      </w:pPr>
      <w:r>
        <w:t xml:space="preserve">☐ ¿Hay bitácora semanal de uso por usuario, con tarea, herramienta, tiempo ahorrado y errores detectados?</w:t>
      </w:r>
    </w:p>
    <w:p>
      <w:pPr>
        <w:numPr>
          <w:ilvl w:val="0"/>
          <w:numId w:val="1002"/>
        </w:numPr>
        <w:pStyle w:val="Compact"/>
      </w:pPr>
      <w:r>
        <w:t xml:space="preserve">☐ ¿La</w:t>
      </w:r>
      <w:r>
        <w:t xml:space="preserve"> </w:t>
      </w:r>
      <w:r>
        <w:rPr>
          <w:iCs/>
          <w:i/>
        </w:rPr>
        <w:t xml:space="preserve">engagement letter</w:t>
      </w:r>
      <w:r>
        <w:t xml:space="preserve"> </w:t>
      </w:r>
      <w:r>
        <w:t xml:space="preserve">del despacho contiene cláusula informativa de uso de IA (Plantilla 2 del libro)?</w:t>
      </w:r>
    </w:p>
    <w:p>
      <w:pPr>
        <w:numPr>
          <w:ilvl w:val="0"/>
          <w:numId w:val="1002"/>
        </w:numPr>
        <w:pStyle w:val="Compact"/>
      </w:pPr>
      <w:r>
        <w:t xml:space="preserve">☐ ¿Hay un socio responsable identificado para supervisión del uso de IA?</w:t>
      </w:r>
    </w:p>
    <w:bookmarkEnd w:id="21"/>
    <w:bookmarkStart w:id="22" w:name="bloque-2-lfpdppp"/>
    <w:p>
      <w:pPr>
        <w:pStyle w:val="Heading2"/>
      </w:pPr>
      <w:r>
        <w:t xml:space="preserve">Bloque 2 — LFPDPPP</w:t>
      </w:r>
    </w:p>
    <w:p>
      <w:pPr>
        <w:numPr>
          <w:ilvl w:val="0"/>
          <w:numId w:val="1003"/>
        </w:numPr>
        <w:pStyle w:val="Compact"/>
      </w:pPr>
      <w:r>
        <w:t xml:space="preserve">☐ ¿El aviso de privacidad menciona el tratamiento por herramientas de IA (Plantilla 3 del libro)?</w:t>
      </w:r>
    </w:p>
    <w:p>
      <w:pPr>
        <w:numPr>
          <w:ilvl w:val="0"/>
          <w:numId w:val="1003"/>
        </w:numPr>
        <w:pStyle w:val="Compact"/>
      </w:pPr>
      <w:r>
        <w:t xml:space="preserve">☐ ¿Hay instrumento contractual vigente (BAA o DPA) con cada proveedor de IA usado, archivado en formato físico y digital?</w:t>
      </w:r>
    </w:p>
    <w:p>
      <w:pPr>
        <w:numPr>
          <w:ilvl w:val="0"/>
          <w:numId w:val="1003"/>
        </w:numPr>
        <w:pStyle w:val="Compact"/>
      </w:pPr>
      <w:r>
        <w:t xml:space="preserve">☐ ¿Se identifica explícitamente como transferencia internacional el envío de datos a EE.UU. o UE?</w:t>
      </w:r>
    </w:p>
    <w:p>
      <w:pPr>
        <w:numPr>
          <w:ilvl w:val="0"/>
          <w:numId w:val="1003"/>
        </w:numPr>
        <w:pStyle w:val="Compact"/>
      </w:pPr>
      <w:r>
        <w:t xml:space="preserve">☐ ¿Existe procedimiento documentado para atender derechos ARCO sobre datos tratados con IA, con plazo de respuesta interno alineado a los plazos legales?</w:t>
      </w:r>
    </w:p>
    <w:bookmarkEnd w:id="22"/>
    <w:bookmarkStart w:id="23" w:name="bloque-3-riesgos-profesionales"/>
    <w:p>
      <w:pPr>
        <w:pStyle w:val="Heading2"/>
      </w:pPr>
      <w:r>
        <w:t xml:space="preserve">Bloque 3 — Riesgos profesionales</w:t>
      </w:r>
    </w:p>
    <w:p>
      <w:pPr>
        <w:numPr>
          <w:ilvl w:val="0"/>
          <w:numId w:val="1004"/>
        </w:numPr>
        <w:pStyle w:val="Compact"/>
      </w:pPr>
      <w:r>
        <w:t xml:space="preserve">☐ ¿La bitácora de incidentes (errores que salieron al cliente o al tribunal) está al día y se reporta al socio responsable?</w:t>
      </w:r>
    </w:p>
    <w:p>
      <w:pPr>
        <w:numPr>
          <w:ilvl w:val="0"/>
          <w:numId w:val="1004"/>
        </w:numPr>
        <w:pStyle w:val="Compact"/>
      </w:pPr>
      <w:r>
        <w:t xml:space="preserve">☐ ¿Hubo capacitación de actualización en los últimos doce meses, con tema documentado?</w:t>
      </w:r>
    </w:p>
    <w:p>
      <w:pPr>
        <w:numPr>
          <w:ilvl w:val="0"/>
          <w:numId w:val="1004"/>
        </w:numPr>
        <w:pStyle w:val="Compact"/>
      </w:pPr>
      <w:r>
        <w:t xml:space="preserve">☐ ¿La política de uso de IA se revisó en los últimos seis meses, con minuta del comité firmada?</w:t>
      </w:r>
    </w:p>
    <w:p>
      <w:pPr>
        <w:numPr>
          <w:ilvl w:val="0"/>
          <w:numId w:val="1004"/>
        </w:numPr>
        <w:pStyle w:val="Compact"/>
      </w:pPr>
      <w:r>
        <w:t xml:space="preserve">☐ ¿El despacho ha auditado al menos una vez al trimestre un caso real para validar que la disciplina aplicó (sanitización efectiva, verificación de citas, registro en bitácora)?</w:t>
      </w:r>
    </w:p>
    <w:p>
      <w:r>
        <w:pict>
          <v:rect style="width:0;height:1.5pt" o:hralign="center" o:hrstd="t" o:hr="t"/>
        </w:pict>
      </w:r>
    </w:p>
    <w:bookmarkEnd w:id="23"/>
    <w:bookmarkStart w:id="24" w:name="lectura-del-resultado"/>
    <w:p>
      <w:pPr>
        <w:pStyle w:val="Heading2"/>
      </w:pPr>
      <w:r>
        <w:t xml:space="preserve">Lectura del resultado</w:t>
      </w:r>
    </w:p>
    <w:tbl>
      <w:tblPr>
        <w:tblStyle w:val="Table"/>
        <w:tblW w:type="pct" w:w="5000.0"/>
        <w:tblLook w:firstRow="1" w:lastRow="0" w:firstColumn="0" w:lastColumn="0" w:noHBand="0" w:noVBand="0" w:val="0020"/>
      </w:tblPr>
      <w:tblGrid>
        <w:gridCol w:w="3960"/>
        <w:gridCol w:w="3960"/>
      </w:tblGrid>
      <w:tr>
        <w:tc>
          <w:p>
            <w:pPr>
              <w:pStyle w:val="Compact"/>
              <w:jc w:val="left"/>
            </w:pPr>
            <w:r>
              <w:t xml:space="preserve">Respuestas</w:t>
            </w:r>
            <w:r>
              <w:t xml:space="preserve"> </w:t>
            </w:r>
            <w:r>
              <w:t xml:space="preserve">“</w:t>
            </w:r>
            <w:r>
              <w:t xml:space="preserve">sí</w:t>
            </w:r>
            <w:r>
              <w:t xml:space="preserve">”</w:t>
            </w:r>
          </w:p>
        </w:tc>
        <w:tc>
          <w:p>
            <w:pPr>
              <w:pStyle w:val="Compact"/>
              <w:jc w:val="left"/>
            </w:pPr>
            <w:r>
              <w:t xml:space="preserve">Estado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16 / 16</w:t>
            </w:r>
          </w:p>
        </w:tc>
        <w:tc>
          <w:p>
            <w:pPr>
              <w:pStyle w:val="Compact"/>
              <w:jc w:val="left"/>
            </w:pPr>
            <w:r>
              <w:rPr>
                <w:iCs/>
                <w:i/>
              </w:rPr>
              <w:t xml:space="preserve">Compliance</w:t>
            </w:r>
            <w:r>
              <w:t xml:space="preserve"> </w:t>
            </w:r>
            <w:r>
              <w:t xml:space="preserve">pleno. Mantener disciplina.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13–15</w:t>
            </w:r>
          </w:p>
        </w:tc>
        <w:tc>
          <w:p>
            <w:pPr>
              <w:pStyle w:val="Compact"/>
              <w:jc w:val="left"/>
            </w:pPr>
            <w:r>
              <w:t xml:space="preserve">Buen estado. Atender los ítems no marcados antes del siguiente trimestre.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9–12</w:t>
            </w:r>
          </w:p>
        </w:tc>
        <w:tc>
          <w:p>
            <w:pPr>
              <w:pStyle w:val="Compact"/>
              <w:jc w:val="left"/>
            </w:pPr>
            <w:r>
              <w:t xml:space="preserve">Estado intermedio. Plan de acción a 90 días con responsables y fechas.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≤ 8</w:t>
            </w:r>
          </w:p>
        </w:tc>
        <w:tc>
          <w:p>
            <w:pPr>
              <w:pStyle w:val="Compact"/>
              <w:jc w:val="left"/>
            </w:pPr>
            <w:r>
              <w:t xml:space="preserve">Estado de riesgo. Pausar uso de IA con información de cliente hasta cerrar las brechas críticas (BAA, política, capacitación).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Start w:id="25" w:name="plan-de-acción-para-brechas-detectadas"/>
    <w:p>
      <w:pPr>
        <w:pStyle w:val="Heading2"/>
      </w:pPr>
      <w:r>
        <w:t xml:space="preserve">Plan de acción para brechas detectadas</w:t>
      </w:r>
    </w:p>
    <w:p>
      <w:pPr>
        <w:pStyle w:val="FirstParagraph"/>
      </w:pPr>
      <w:r>
        <w:t xml:space="preserve">Por cada ítem no marcado:</w:t>
      </w:r>
    </w:p>
    <w:p>
      <w:pPr>
        <w:numPr>
          <w:ilvl w:val="0"/>
          <w:numId w:val="1005"/>
        </w:numPr>
        <w:pStyle w:val="Compact"/>
      </w:pPr>
      <w:r>
        <w:t xml:space="preserve">Identifique responsable de cierre.</w:t>
      </w:r>
    </w:p>
    <w:p>
      <w:pPr>
        <w:numPr>
          <w:ilvl w:val="0"/>
          <w:numId w:val="1005"/>
        </w:numPr>
        <w:pStyle w:val="Compact"/>
      </w:pPr>
      <w:r>
        <w:t xml:space="preserve">Asigne fecha de cumplimiento (máximo 30 días para brechas LFPDPPP; 90 días para BMA y riesgos profesionales).</w:t>
      </w:r>
    </w:p>
    <w:p>
      <w:pPr>
        <w:numPr>
          <w:ilvl w:val="0"/>
          <w:numId w:val="1005"/>
        </w:numPr>
        <w:pStyle w:val="Compact"/>
      </w:pPr>
      <w:r>
        <w:t xml:space="preserve">Documente la evidencia que cierra la brecha (política firmada, contrato suscrito, capacitación tomada, bitácora iniciada).</w:t>
      </w:r>
    </w:p>
    <w:p>
      <w:pPr>
        <w:numPr>
          <w:ilvl w:val="0"/>
          <w:numId w:val="1005"/>
        </w:numPr>
        <w:pStyle w:val="Compact"/>
      </w:pPr>
      <w:r>
        <w:t xml:space="preserve">Verifique en la siguiente auditoría trimestral.</w:t>
      </w:r>
    </w:p>
    <w:p>
      <w:r>
        <w:pict>
          <v:rect style="width:0;height:1.5pt" o:hralign="center" o:hrstd="t" o:hr="t"/>
        </w:pict>
      </w:r>
    </w:p>
    <w:bookmarkEnd w:id="25"/>
    <w:bookmarkStart w:id="26" w:name="firma-de-la-auditoría"/>
    <w:p>
      <w:pPr>
        <w:pStyle w:val="Heading2"/>
      </w:pPr>
      <w:r>
        <w:t xml:space="preserve">Firma de la auditoría</w:t>
      </w:r>
    </w:p>
    <w:tbl>
      <w:tblPr>
        <w:tblStyle w:val="Table"/>
        <w:tblW w:type="pct" w:w="0.0"/>
        <w:tblLook w:firstRow="1" w:lastRow="0" w:firstColumn="0" w:lastColumn="0" w:noHBand="0" w:noVBand="0" w:val="0020"/>
      </w:tblPr>
      <w:tblGrid/>
      <w:tr>
        <w:tc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p>
            <w:pPr>
              <w:pStyle w:val="Compact"/>
              <w:jc w:val="left"/>
            </w:pPr>
            <w:r>
              <w:t xml:space="preserve">Valor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Periodo auditado</w:t>
            </w:r>
          </w:p>
        </w:tc>
        <w:tc>
          <w:p>
            <w:pPr>
              <w:pStyle w:val="Compact"/>
              <w:jc w:val="left"/>
            </w:pPr>
            <w:r>
              <w:t xml:space="preserve">Q__ — 20__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Auditor (socio responsable)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Fecha de la revisión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Resultado total (X / 16)</w:t>
            </w:r>
          </w:p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Plan de acción adjunto</w:t>
            </w:r>
          </w:p>
        </w:tc>
        <w:tc>
          <w:p>
            <w:pPr>
              <w:pStyle w:val="Compact"/>
              <w:jc w:val="left"/>
            </w:pPr>
            <w:r>
              <w:t xml:space="preserve">sí / no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Firma</w:t>
            </w:r>
          </w:p>
        </w:tc>
        <w:tc>
          <w:p/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Cita sugerida:</w:t>
      </w:r>
      <w:r>
        <w:t xml:space="preserve"> </w:t>
      </w:r>
      <w:r>
        <w:t xml:space="preserve">Cortina Ceballos, B., Cortina Ceballos, S., Quezada Salinas, K.,</w:t>
      </w:r>
      <w:r>
        <w:t xml:space="preserve"> </w:t>
      </w:r>
      <w:r>
        <w:rPr>
          <w:iCs/>
          <w:i/>
        </w:rPr>
        <w:t xml:space="preserve">Plantilla 4 — Checklist de auditoría BMA + LFPDPPP</w:t>
      </w:r>
      <w:r>
        <w:t xml:space="preserve">, en</w:t>
      </w:r>
      <w:r>
        <w:t xml:space="preserve"> </w:t>
      </w:r>
      <w:r>
        <w:rPr>
          <w:iCs/>
          <w:i/>
        </w:rPr>
        <w:t xml:space="preserve">Inteligencia Artificial para Abogados — Manual del mercado USA-México</w:t>
      </w:r>
      <w:r>
        <w:t xml:space="preserve">, primera edición, 2026, back matter.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71315dca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2026-05-12T09:22:05Z</dcterms:created>
  <dcterms:modified xsi:type="dcterms:W3CDTF">2026-05-12T09:22:05Z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