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3a741c88d8a04bc45490b7b3c61a4492c982a3"/>
    <w:p>
      <w:pPr>
        <w:pStyle w:val="Heading1"/>
      </w:pPr>
      <w:r>
        <w:t xml:space="preserve">Amparo por opacidad algorítmica judicial — Plantilla de cuatro conceptos de violación</w:t>
      </w:r>
    </w:p>
    <w:p>
      <w:pPr>
        <w:pStyle w:val="BlockText"/>
      </w:pPr>
      <w:r>
        <w:rPr>
          <w:bCs/>
          <w:b/>
        </w:rPr>
        <w:t xml:space="preserve">Plantilla doctrinal — no es un escrito listo para presentar.</w:t>
      </w:r>
      <w:r>
        <w:t xml:space="preserve"> </w:t>
      </w:r>
      <w:r>
        <w:t xml:space="preserve">El abogado responsable debe adaptar cada concepto al caso concreto, a la jurisdicción específica, y al precepto que se aplicó. La validación con experto en amparo es obligatoria antes de presentar.</w:t>
      </w:r>
    </w:p>
    <w:p>
      <w:pPr>
        <w:pStyle w:val="BlockText"/>
      </w:pPr>
      <w:r>
        <w:t xml:space="preserve">Licencia: CC BY 4.0 —</w:t>
      </w:r>
      <w:r>
        <w:t xml:space="preserve"> </w:t>
      </w:r>
      <w:r>
        <w:rPr>
          <w:iCs/>
          <w:i/>
        </w:rPr>
        <w:t xml:space="preserve">Inteligencia Artificial para Abogados — Manual del mercado USA-México</w:t>
      </w:r>
      <w:r>
        <w:t xml:space="preserve"> </w:t>
      </w:r>
      <w:r>
        <w:t xml:space="preserve">(2026). Cortina Ceballos · Cortina Ceballos · Quezada Salinas.</w:t>
      </w:r>
    </w:p>
    <w:p>
      <w:r>
        <w:pict>
          <v:rect style="width:0;height:1.5pt" o:hralign="center" o:hrstd="t" o:hr="t"/>
        </w:pict>
      </w:r>
    </w:p>
    <w:bookmarkStart w:id="20" w:name="cuándo-procede-pre-redactar-este-amparo"/>
    <w:p>
      <w:pPr>
        <w:pStyle w:val="Heading2"/>
      </w:pPr>
      <w:r>
        <w:t xml:space="preserve">Cuándo procede pre-redactar este amparo</w:t>
      </w:r>
    </w:p>
    <w:p>
      <w:pPr>
        <w:pStyle w:val="FirstParagraph"/>
      </w:pPr>
      <w:r>
        <w:t xml:space="preserve">Al cierre de mayo de 2026, no existe criterio firme de la Suprema Corte de Justicia de la Nación sobre amparo por opacidad algorítmica judicial. El primer despacho que interponga este amparo y obtenga, mínimamente, un voto particular en Tribunal Colegiado sentará la base doctrinal para las dos décadas siguientes.</w:t>
      </w:r>
    </w:p>
    <w:p>
      <w:pPr>
        <w:pStyle w:val="BodyText"/>
      </w:pPr>
      <w:r>
        <w:t xml:space="preserve">Cuando aparezca el caso (un juez asistido por IA generativa emite una sentencia adversa con razonamiento que parece alucinado, sin transparencia sobre el uso del sistema), los tiempos del amparo directo —quince días hábiles— no permiten construir el argumento doctrinal desde cero. Esta plantilla está aquí para que su despacho la adapte antes de necesitarla.</w:t>
      </w:r>
    </w:p>
    <w:p>
      <w:r>
        <w:pict>
          <v:rect style="width:0;height:1.5pt" o:hralign="center" o:hrstd="t" o:hr="t"/>
        </w:pict>
      </w:r>
    </w:p>
    <w:bookmarkEnd w:id="20"/>
    <w:bookmarkStart w:id="21" w:name="X832a97ddc7bfa61e26972116f841b615d9a5a89"/>
    <w:p>
      <w:pPr>
        <w:pStyle w:val="Heading2"/>
      </w:pPr>
      <w:r>
        <w:t xml:space="preserve">Concepto de violación 1 — Violación al derecho fundamental a la motivación de sentencias</w:t>
      </w:r>
    </w:p>
    <w:p>
      <w:pPr>
        <w:pStyle w:val="FirstParagraph"/>
      </w:pPr>
      <w:r>
        <w:rPr>
          <w:bCs/>
          <w:b/>
        </w:rPr>
        <w:t xml:space="preserve">Preceptos invocados:</w:t>
      </w:r>
      <w:r>
        <w:t xml:space="preserve"> </w:t>
      </w:r>
      <w:r>
        <w:t xml:space="preserve">Artículos 14 y 16 de la Constitución Política de los Estados Unidos Mexicanos.</w:t>
      </w:r>
    </w:p>
    <w:p>
      <w:pPr>
        <w:pStyle w:val="BodyText"/>
      </w:pPr>
      <w:r>
        <w:rPr>
          <w:bCs/>
          <w:b/>
        </w:rPr>
        <w:t xml:space="preserve">Tesis:</w:t>
      </w:r>
      <w:r>
        <w:t xml:space="preserve"> </w:t>
      </w:r>
      <w:r>
        <w:t xml:space="preserve">Si la sentencia fue asistida por inteligencia artificial generativa sin que esa asistencia sea revelada en el cuerpo de la resolución, ni identificados los pasajes producidos por IA, ni el modelo específico usado, ni el sistema de validación humana aplicado, la motivación de la sentencia no satisface el estándar constitucional de motivación adecuada. El quejoso no puede identificar qué razonamientos provienen del juzgador y cuáles del modelo estadístico, lo que vulnera el derecho fundamental a recurrir motivación específica.</w:t>
      </w:r>
    </w:p>
    <w:p>
      <w:pPr>
        <w:pStyle w:val="BodyText"/>
      </w:pPr>
      <w:r>
        <w:rPr>
          <w:bCs/>
          <w:b/>
        </w:rPr>
        <w:t xml:space="preserve">Apoyos doctrinales sugeridos:</w:t>
      </w:r>
    </w:p>
    <w:p>
      <w:pPr>
        <w:numPr>
          <w:ilvl w:val="0"/>
          <w:numId w:val="1001"/>
        </w:numPr>
        <w:pStyle w:val="Compact"/>
      </w:pPr>
      <w:r>
        <w:t xml:space="preserve">Motivación adecuada como elemento del debido proceso (jurisprudencia consolidada de Pleno y Salas).</w:t>
      </w:r>
    </w:p>
    <w:p>
      <w:pPr>
        <w:numPr>
          <w:ilvl w:val="0"/>
          <w:numId w:val="1001"/>
        </w:numPr>
        <w:pStyle w:val="Compact"/>
      </w:pPr>
      <w:r>
        <w:t xml:space="preserve">Doctrina sobre control judicial efectivo (</w:t>
      </w:r>
      <w:r>
        <w:rPr>
          <w:iCs/>
          <w:i/>
        </w:rPr>
        <w:t xml:space="preserve">judicial review</w:t>
      </w:r>
      <w:r>
        <w:t xml:space="preserve">) como salvaguarda del estado de derecho.</w:t>
      </w:r>
    </w:p>
    <w:p>
      <w:pPr>
        <w:numPr>
          <w:ilvl w:val="0"/>
          <w:numId w:val="1001"/>
        </w:numPr>
        <w:pStyle w:val="Compact"/>
      </w:pPr>
      <w:r>
        <w:t xml:space="preserve">Precedente</w:t>
      </w:r>
      <w:r>
        <w:t xml:space="preserve"> </w:t>
      </w:r>
      <w:r>
        <w:rPr>
          <w:iCs/>
          <w:i/>
        </w:rPr>
        <w:t xml:space="preserve">P./J.</w:t>
      </w:r>
      <w:r>
        <w:rPr>
          <w:iCs/>
          <w:i/>
        </w:rPr>
        <w:t xml:space="preserve"> </w:t>
      </w:r>
      <w:r>
        <w:t xml:space="preserve">_</w:t>
      </w:r>
      <w:r>
        <w:rPr>
          <w:iCs/>
          <w:i/>
        </w:rPr>
        <w:t xml:space="preserve">/</w:t>
      </w:r>
      <w:r>
        <w:t xml:space="preserve">_____ sobre exigencia de fundamentación y motivación en sentencias.</w:t>
      </w:r>
    </w:p>
    <w:p>
      <w:r>
        <w:pict>
          <v:rect style="width:0;height:1.5pt" o:hralign="center" o:hrstd="t" o:hr="t"/>
        </w:pict>
      </w:r>
    </w:p>
    <w:bookmarkEnd w:id="21"/>
    <w:bookmarkStart w:id="22" w:name="X0d83e0c52c1bbd48f81540fe2a0154e804458b2"/>
    <w:p>
      <w:pPr>
        <w:pStyle w:val="Heading2"/>
      </w:pPr>
      <w:r>
        <w:t xml:space="preserve">Concepto de violación 2 — Violación al derecho de defensa por opacidad probatoria del sistema de IA</w:t>
      </w:r>
    </w:p>
    <w:p>
      <w:pPr>
        <w:pStyle w:val="FirstParagraph"/>
      </w:pPr>
      <w:r>
        <w:rPr>
          <w:bCs/>
          <w:b/>
        </w:rPr>
        <w:t xml:space="preserve">Preceptos invocados:</w:t>
      </w:r>
      <w:r>
        <w:t xml:space="preserve"> </w:t>
      </w:r>
      <w:r>
        <w:t xml:space="preserve">Artículos 14 y 17 constitucionales; principio de igualdad de armas.</w:t>
      </w:r>
    </w:p>
    <w:p>
      <w:pPr>
        <w:pStyle w:val="BodyText"/>
      </w:pPr>
      <w:r>
        <w:rPr>
          <w:bCs/>
          <w:b/>
        </w:rPr>
        <w:t xml:space="preserve">Tesis:</w:t>
      </w:r>
      <w:r>
        <w:t xml:space="preserve"> </w:t>
      </w:r>
      <w:r>
        <w:t xml:space="preserve">La inteligencia artificial generativa funciona como caja negra estadística. El quejoso no puede saber qué corpus de entrenamiento se usó, qué sesgos puede tener, qué probabilidades asignó el modelo a las distintas resoluciones posibles, ni si el modelo fue actualizado durante el proceso. Esto vulnera el principio de igualdad de armas y el derecho a confrontar la evidencia, incluso si la</w:t>
      </w:r>
      <w:r>
        <w:t xml:space="preserve"> </w:t>
      </w:r>
      <w:r>
        <w:t xml:space="preserve">“</w:t>
      </w:r>
      <w:r>
        <w:t xml:space="preserve">evidencia</w:t>
      </w:r>
      <w:r>
        <w:t xml:space="preserve">”</w:t>
      </w:r>
      <w:r>
        <w:t xml:space="preserve"> </w:t>
      </w:r>
      <w:r>
        <w:t xml:space="preserve">es un sistema asistivo del juzgador.</w:t>
      </w:r>
    </w:p>
    <w:p>
      <w:pPr>
        <w:pStyle w:val="BodyText"/>
      </w:pPr>
      <w:r>
        <w:rPr>
          <w:bCs/>
          <w:b/>
        </w:rPr>
        <w:t xml:space="preserve">Apoyos doctrinales sugeridos:</w:t>
      </w:r>
    </w:p>
    <w:p>
      <w:pPr>
        <w:numPr>
          <w:ilvl w:val="0"/>
          <w:numId w:val="1002"/>
        </w:numPr>
        <w:pStyle w:val="Compact"/>
      </w:pPr>
      <w:r>
        <w:rPr>
          <w:iCs/>
          <w:i/>
        </w:rPr>
        <w:t xml:space="preserve">Loomis v. Wisconsin</w:t>
      </w:r>
      <w:r>
        <w:t xml:space="preserve"> </w:t>
      </w:r>
      <w:r>
        <w:t xml:space="preserve">(Suprema Corte de Wisconsin, 881 N.W.2d 749, 2016) sobre opacidad de algoritmos en</w:t>
      </w:r>
      <w:r>
        <w:t xml:space="preserve"> </w:t>
      </w:r>
      <w:r>
        <w:rPr>
          <w:iCs/>
          <w:i/>
        </w:rPr>
        <w:t xml:space="preserve">sentencing</w:t>
      </w:r>
      <w:r>
        <w:t xml:space="preserve"> </w:t>
      </w:r>
      <w:r>
        <w:t xml:space="preserve">penal. Aunque la Corte Suprema de EE.UU. denegó</w:t>
      </w:r>
      <w:r>
        <w:t xml:space="preserve"> </w:t>
      </w:r>
      <w:r>
        <w:rPr>
          <w:iCs/>
          <w:i/>
        </w:rPr>
        <w:t xml:space="preserve">certiorari</w:t>
      </w:r>
      <w:r>
        <w:t xml:space="preserve">, el caso estableció el marco argumental sobre uso de algoritmos predictivos en decisiones jurisdiccionales.</w:t>
      </w:r>
    </w:p>
    <w:p>
      <w:pPr>
        <w:numPr>
          <w:ilvl w:val="0"/>
          <w:numId w:val="1002"/>
        </w:numPr>
        <w:pStyle w:val="Compact"/>
      </w:pPr>
      <w:r>
        <w:t xml:space="preserve">Comparativo con derecho administrativo mexicano sobre transparencia algorítmica.</w:t>
      </w:r>
    </w:p>
    <w:p>
      <w:pPr>
        <w:numPr>
          <w:ilvl w:val="0"/>
          <w:numId w:val="1002"/>
        </w:numPr>
        <w:pStyle w:val="Compact"/>
      </w:pPr>
      <w:r>
        <w:t xml:space="preserve">Doctrina internacional sobre</w:t>
      </w:r>
      <w:r>
        <w:t xml:space="preserve"> </w:t>
      </w:r>
      <w:r>
        <w:rPr>
          <w:iCs/>
          <w:i/>
        </w:rPr>
        <w:t xml:space="preserve">algorithmic accountability</w:t>
      </w:r>
      <w:r>
        <w:t xml:space="preserve"> </w:t>
      </w:r>
      <w:r>
        <w:t xml:space="preserve">(Pasquale, Citron, Crawford).</w:t>
      </w:r>
    </w:p>
    <w:p>
      <w:r>
        <w:pict>
          <v:rect style="width:0;height:1.5pt" o:hralign="center" o:hrstd="t" o:hr="t"/>
        </w:pict>
      </w:r>
    </w:p>
    <w:bookmarkEnd w:id="22"/>
    <w:bookmarkStart w:id="23" w:name="X3e499e75ffe2aae070164f46f4143ef4ba9f088"/>
    <w:p>
      <w:pPr>
        <w:pStyle w:val="Heading2"/>
      </w:pPr>
      <w:r>
        <w:t xml:space="preserve">Concepto de violación 3 — Violación al principio de juez natural por delegación impropia a IA</w:t>
      </w:r>
    </w:p>
    <w:p>
      <w:pPr>
        <w:pStyle w:val="FirstParagraph"/>
      </w:pPr>
      <w:r>
        <w:rPr>
          <w:bCs/>
          <w:b/>
        </w:rPr>
        <w:t xml:space="preserve">Preceptos invocados:</w:t>
      </w:r>
      <w:r>
        <w:t xml:space="preserve"> </w:t>
      </w:r>
      <w:r>
        <w:t xml:space="preserve">Artículo 17 constitucional; principio de competencia jurisdiccional indelegable.</w:t>
      </w:r>
    </w:p>
    <w:p>
      <w:pPr>
        <w:pStyle w:val="BodyText"/>
      </w:pPr>
      <w:r>
        <w:rPr>
          <w:bCs/>
          <w:b/>
        </w:rPr>
        <w:t xml:space="preserve">Tesis:</w:t>
      </w:r>
      <w:r>
        <w:t xml:space="preserve"> </w:t>
      </w:r>
      <w:r>
        <w:t xml:space="preserve">Si la asistencia de IA no se limitó a tareas instrumentales (resumen de actuaciones, búsqueda de jurisprudencia, organización formal del escrito), sino que participó en la</w:t>
      </w:r>
      <w:r>
        <w:t xml:space="preserve"> </w:t>
      </w:r>
      <w:r>
        <w:rPr>
          <w:iCs/>
          <w:i/>
        </w:rPr>
        <w:t xml:space="preserve">decisión</w:t>
      </w:r>
      <w:r>
        <w:t xml:space="preserve"> </w:t>
      </w:r>
      <w:r>
        <w:t xml:space="preserve">jurídica —calificación de los hechos, ponderación de pruebas, fijación de consecuencias jurídicas—, se vulnera el principio constitucional de juez natural. El quejoso tiene derecho a que un humano específico y competente resuelva, no un sistema estadístico anónimo cuya operación interna no puede ser revisada.</w:t>
      </w:r>
    </w:p>
    <w:p>
      <w:pPr>
        <w:pStyle w:val="BodyText"/>
      </w:pPr>
      <w:r>
        <w:rPr>
          <w:bCs/>
          <w:b/>
        </w:rPr>
        <w:t xml:space="preserve">Apoyos doctrinales sugeridos:</w:t>
      </w:r>
    </w:p>
    <w:p>
      <w:pPr>
        <w:numPr>
          <w:ilvl w:val="0"/>
          <w:numId w:val="1003"/>
        </w:numPr>
        <w:pStyle w:val="Compact"/>
      </w:pPr>
      <w:r>
        <w:t xml:space="preserve">Doctrina mexicana sobre competencia jurisdiccional indelegable.</w:t>
      </w:r>
    </w:p>
    <w:p>
      <w:pPr>
        <w:numPr>
          <w:ilvl w:val="0"/>
          <w:numId w:val="1003"/>
        </w:numPr>
        <w:pStyle w:val="Compact"/>
      </w:pPr>
      <w:r>
        <w:t xml:space="preserve">Acuerdo General SCJN 8/2024 sobre uso de inteligencia artificial en cortes mexicanas (lineamientos institucionales).</w:t>
      </w:r>
    </w:p>
    <w:p>
      <w:pPr>
        <w:numPr>
          <w:ilvl w:val="0"/>
          <w:numId w:val="1003"/>
        </w:numPr>
        <w:pStyle w:val="Compact"/>
      </w:pPr>
      <w:r>
        <w:t xml:space="preserve">Principios de la Comisión de Naciones Unidas sobre administración de justicia.</w:t>
      </w:r>
    </w:p>
    <w:p>
      <w:pPr>
        <w:numPr>
          <w:ilvl w:val="0"/>
          <w:numId w:val="1003"/>
        </w:numPr>
        <w:pStyle w:val="Compact"/>
      </w:pPr>
      <w:r>
        <w:t xml:space="preserve">Como referente comparado,</w:t>
      </w:r>
      <w:r>
        <w:t xml:space="preserve"> </w:t>
      </w:r>
      <w:r>
        <w:rPr>
          <w:iCs/>
          <w:i/>
        </w:rPr>
        <w:t xml:space="preserve">Resolução CNJ 332/2020</w:t>
      </w:r>
      <w:r>
        <w:t xml:space="preserve"> </w:t>
      </w:r>
      <w:r>
        <w:t xml:space="preserve">del Conselho Nacional de Justiça de Brasil, que obliga al</w:t>
      </w:r>
      <w:r>
        <w:t xml:space="preserve"> </w:t>
      </w:r>
      <w:r>
        <w:rPr>
          <w:iCs/>
          <w:i/>
        </w:rPr>
        <w:t xml:space="preserve">disclosure</w:t>
      </w:r>
      <w:r>
        <w:t xml:space="preserve"> </w:t>
      </w:r>
      <w:r>
        <w:t xml:space="preserve">del uso de IA en decisiones judiciales.</w:t>
      </w:r>
    </w:p>
    <w:p>
      <w:r>
        <w:pict>
          <v:rect style="width:0;height:1.5pt" o:hralign="center" o:hrstd="t" o:hr="t"/>
        </w:pict>
      </w:r>
    </w:p>
    <w:bookmarkEnd w:id="23"/>
    <w:bookmarkStart w:id="24" w:name="Xcc663832e7b58597ef6f13abb4b49a21d485b56"/>
    <w:p>
      <w:pPr>
        <w:pStyle w:val="Heading2"/>
      </w:pPr>
      <w:r>
        <w:t xml:space="preserve">Concepto de violación 4 — Violación al derecho a recurso efectivo por imposibilidad de impugnar razonamiento opaco</w:t>
      </w:r>
    </w:p>
    <w:p>
      <w:pPr>
        <w:pStyle w:val="FirstParagraph"/>
      </w:pPr>
      <w:r>
        <w:rPr>
          <w:bCs/>
          <w:b/>
        </w:rPr>
        <w:t xml:space="preserve">Preceptos invocados:</w:t>
      </w:r>
      <w:r>
        <w:t xml:space="preserve"> </w:t>
      </w:r>
      <w:r>
        <w:t xml:space="preserve">Artículo 25 de la Convención Americana sobre Derechos Humanos (Pacto de San José); artículo 17 constitucional.</w:t>
      </w:r>
    </w:p>
    <w:p>
      <w:pPr>
        <w:pStyle w:val="BodyText"/>
      </w:pPr>
      <w:r>
        <w:rPr>
          <w:bCs/>
          <w:b/>
        </w:rPr>
        <w:t xml:space="preserve">Tesis:</w:t>
      </w:r>
      <w:r>
        <w:t xml:space="preserve"> </w:t>
      </w:r>
      <w:r>
        <w:t xml:space="preserve">Si el quejoso no puede identificar y refutar el razonamiento específico que llevó a la decisión adversa —porque la asistencia de IA no se documenta y el razonamiento puede contener</w:t>
      </w:r>
      <w:r>
        <w:t xml:space="preserve"> </w:t>
      </w:r>
      <w:r>
        <w:t xml:space="preserve">“</w:t>
      </w:r>
      <w:r>
        <w:t xml:space="preserve">alucinaciones</w:t>
      </w:r>
      <w:r>
        <w:t xml:space="preserve">”</w:t>
      </w:r>
      <w:r>
        <w:t xml:space="preserve"> </w:t>
      </w:r>
      <w:r>
        <w:t xml:space="preserve">indistinguibles del razonamiento humano—, el recurso de amparo se vuelve inefectivo. La Convención Americana sobre Derechos Humanos exige recurso</w:t>
      </w:r>
      <w:r>
        <w:t xml:space="preserve"> </w:t>
      </w:r>
      <w:r>
        <w:t xml:space="preserve">“</w:t>
      </w:r>
      <w:r>
        <w:t xml:space="preserve">sencillo, rápido y efectivo</w:t>
      </w:r>
      <w:r>
        <w:t xml:space="preserve">”</w:t>
      </w:r>
      <w:r>
        <w:t xml:space="preserve">; la opacidad algorítmica vulnera el componente de</w:t>
      </w:r>
      <w:r>
        <w:t xml:space="preserve"> </w:t>
      </w:r>
      <w:r>
        <w:t xml:space="preserve">“</w:t>
      </w:r>
      <w:r>
        <w:t xml:space="preserve">efectividad</w:t>
      </w:r>
      <w:r>
        <w:t xml:space="preserve">”</w:t>
      </w:r>
      <w:r>
        <w:t xml:space="preserve">.</w:t>
      </w:r>
    </w:p>
    <w:p>
      <w:pPr>
        <w:pStyle w:val="BodyText"/>
      </w:pPr>
      <w:r>
        <w:rPr>
          <w:bCs/>
          <w:b/>
        </w:rPr>
        <w:t xml:space="preserve">Apoyos doctrinales sugeridos:</w:t>
      </w:r>
    </w:p>
    <w:p>
      <w:pPr>
        <w:numPr>
          <w:ilvl w:val="0"/>
          <w:numId w:val="1004"/>
        </w:numPr>
        <w:pStyle w:val="Compact"/>
      </w:pPr>
      <w:r>
        <w:t xml:space="preserve">Artículo 25 de la Convención Americana sobre Derechos Humanos.</w:t>
      </w:r>
    </w:p>
    <w:p>
      <w:pPr>
        <w:numPr>
          <w:ilvl w:val="0"/>
          <w:numId w:val="1004"/>
        </w:numPr>
        <w:pStyle w:val="Compact"/>
      </w:pPr>
      <w:r>
        <w:t xml:space="preserve">Casos de la Corte Interamericana de Derechos Humanos sobre recurso efectivo (especialmente</w:t>
      </w:r>
      <w:r>
        <w:t xml:space="preserve"> </w:t>
      </w:r>
      <w:r>
        <w:rPr>
          <w:iCs/>
          <w:i/>
        </w:rPr>
        <w:t xml:space="preserve">Velásquez Rodríguez vs. Honduras</w:t>
      </w:r>
      <w:r>
        <w:t xml:space="preserve"> </w:t>
      </w:r>
      <w:r>
        <w:t xml:space="preserve">y posteriores que desarrollan el estándar).</w:t>
      </w:r>
    </w:p>
    <w:p>
      <w:pPr>
        <w:numPr>
          <w:ilvl w:val="0"/>
          <w:numId w:val="1004"/>
        </w:numPr>
        <w:pStyle w:val="Compact"/>
      </w:pPr>
      <w:r>
        <w:t xml:space="preserve">Convergencia con jurisprudencia europea sobre algoritmos en administración pública (Reglamento UE de IA, 2024).</w:t>
      </w:r>
    </w:p>
    <w:p>
      <w:r>
        <w:pict>
          <v:rect style="width:0;height:1.5pt" o:hralign="center" o:hrstd="t" o:hr="t"/>
        </w:pict>
      </w:r>
    </w:p>
    <w:bookmarkEnd w:id="24"/>
    <w:bookmarkStart w:id="25" w:name="suplemento-operativo"/>
    <w:p>
      <w:pPr>
        <w:pStyle w:val="Heading2"/>
      </w:pPr>
      <w:r>
        <w:t xml:space="preserve">Suplemento operativo</w:t>
      </w:r>
    </w:p>
    <w:p>
      <w:pPr>
        <w:pStyle w:val="FirstParagraph"/>
      </w:pPr>
      <w:r>
        <w:t xml:space="preserve">Esta plantilla cubre la estructura doctrinal. Para presentación efectiva, el abogado debe completar adicionalmente:</w:t>
      </w:r>
    </w:p>
    <w:p>
      <w:pPr>
        <w:numPr>
          <w:ilvl w:val="0"/>
          <w:numId w:val="1005"/>
        </w:numPr>
        <w:pStyle w:val="Compact"/>
      </w:pPr>
      <w:r>
        <w:rPr>
          <w:bCs/>
          <w:b/>
        </w:rPr>
        <w:t xml:space="preserve">Hechos:</w:t>
      </w:r>
      <w:r>
        <w:t xml:space="preserve"> </w:t>
      </w:r>
      <w:r>
        <w:t xml:space="preserve">narrativa concreta de cómo el quejoso identificó (o sospecha razonablemente) que la sentencia adversa fue asistida por IA sin</w:t>
      </w:r>
      <w:r>
        <w:t xml:space="preserve"> </w:t>
      </w:r>
      <w:r>
        <w:rPr>
          <w:iCs/>
          <w:i/>
        </w:rPr>
        <w:t xml:space="preserve">disclosure</w:t>
      </w:r>
      <w:r>
        <w:t xml:space="preserve">.</w:t>
      </w:r>
    </w:p>
    <w:p>
      <w:pPr>
        <w:numPr>
          <w:ilvl w:val="0"/>
          <w:numId w:val="1005"/>
        </w:numPr>
        <w:pStyle w:val="Compact"/>
      </w:pPr>
      <w:r>
        <w:rPr>
          <w:bCs/>
          <w:b/>
        </w:rPr>
        <w:t xml:space="preserve">Pruebas:</w:t>
      </w:r>
      <w:r>
        <w:t xml:space="preserve"> </w:t>
      </w:r>
      <w:r>
        <w:t xml:space="preserve">análisis textual del fallo (uso de fórmulas estadísticas características de modelos generativos, citas inexistentes o imprecisas,</w:t>
      </w:r>
      <w:r>
        <w:t xml:space="preserve"> </w:t>
      </w:r>
      <w:r>
        <w:rPr>
          <w:iCs/>
          <w:i/>
        </w:rPr>
        <w:t xml:space="preserve">patrones lingüísticos no humanos</w:t>
      </w:r>
      <w:r>
        <w:t xml:space="preserve">); peritajes técnicos sobre el sistema de IA del tribunal; consulta de Acuerdo General SCJN 8/2024 sobre transparencia.</w:t>
      </w:r>
    </w:p>
    <w:p>
      <w:pPr>
        <w:numPr>
          <w:ilvl w:val="0"/>
          <w:numId w:val="1005"/>
        </w:numPr>
        <w:pStyle w:val="Compact"/>
      </w:pPr>
      <w:r>
        <w:rPr>
          <w:bCs/>
          <w:b/>
        </w:rPr>
        <w:t xml:space="preserve">Pretensiones:</w:t>
      </w:r>
      <w:r>
        <w:t xml:space="preserve"> </w:t>
      </w:r>
      <w:r>
        <w:t xml:space="preserve">anulación de la sentencia y devolución del expediente para resolución con</w:t>
      </w:r>
      <w:r>
        <w:t xml:space="preserve"> </w:t>
      </w:r>
      <w:r>
        <w:rPr>
          <w:iCs/>
          <w:i/>
        </w:rPr>
        <w:t xml:space="preserve">disclosure</w:t>
      </w:r>
      <w:r>
        <w:t xml:space="preserve"> </w:t>
      </w:r>
      <w:r>
        <w:t xml:space="preserve">completo del uso de IA, o, subsidiariamente, reposición del procedimiento.</w:t>
      </w:r>
    </w:p>
    <w:p>
      <w:r>
        <w:pict>
          <v:rect style="width:0;height:1.5pt" o:hralign="center" o:hrstd="t" o:hr="t"/>
        </w:pict>
      </w:r>
    </w:p>
    <w:bookmarkEnd w:id="25"/>
    <w:bookmarkStart w:id="26" w:name="por-qué-pre-redactar-hoy"/>
    <w:p>
      <w:pPr>
        <w:pStyle w:val="Heading2"/>
      </w:pPr>
      <w:r>
        <w:t xml:space="preserve">Por qué pre-redactar hoy</w:t>
      </w:r>
    </w:p>
    <w:p>
      <w:pPr>
        <w:pStyle w:val="FirstParagraph"/>
      </w:pPr>
      <w:r>
        <w:t xml:space="preserve">El primer despacho que obtenga, al menos, un voto particular en Tribunal Colegiado sobre opacidad algorítmica judicial fijará la línea de oro doctrinal. Es una oportunidad estratégica que el lector con disposición de pionero puede capturar antes de que la SCJN fije criterio firme.</w:t>
      </w:r>
    </w:p>
    <w:p>
      <w:r>
        <w:pict>
          <v:rect style="width:0;height:1.5pt" o:hralign="center" o:hrstd="t" o:hr="t"/>
        </w:pict>
      </w:r>
    </w:p>
    <w:p>
      <w:pPr>
        <w:pStyle w:val="FirstParagraph"/>
      </w:pPr>
      <w:r>
        <w:rPr>
          <w:bCs/>
          <w:b/>
        </w:rPr>
        <w:t xml:space="preserve">Licencia:</w:t>
      </w:r>
      <w:r>
        <w:t xml:space="preserve"> </w:t>
      </w:r>
      <w:r>
        <w:t xml:space="preserve">Creative Commons Attribution 4.0 International (CC BY 4.0). Uso libre incluyendo modificación y redistribución, con atribución a los autores y al libro fuente.</w:t>
      </w:r>
    </w:p>
    <w:p>
      <w:pPr>
        <w:pStyle w:val="BodyText"/>
      </w:pPr>
      <w:r>
        <w:rPr>
          <w:bCs/>
          <w:b/>
        </w:rPr>
        <w:t xml:space="preserve">Cita sugerida:</w:t>
      </w:r>
      <w:r>
        <w:t xml:space="preserve"> </w:t>
      </w:r>
      <w:r>
        <w:t xml:space="preserve">Cortina Ceballos, B., Cortina Ceballos, S., Quezada Salinas, K.,</w:t>
      </w:r>
      <w:r>
        <w:t xml:space="preserve"> </w:t>
      </w:r>
      <w:r>
        <w:rPr>
          <w:iCs/>
          <w:i/>
        </w:rPr>
        <w:t xml:space="preserve">Plantilla de amparo por opacidad algorítmica judicial</w:t>
      </w:r>
      <w:r>
        <w:t xml:space="preserve">, en</w:t>
      </w:r>
      <w:r>
        <w:t xml:space="preserve"> </w:t>
      </w:r>
      <w:r>
        <w:rPr>
          <w:iCs/>
          <w:i/>
        </w:rPr>
        <w:t xml:space="preserve">Inteligencia Artificial para Abogados — Manual del mercado USA-México</w:t>
      </w:r>
      <w:r>
        <w:t xml:space="preserve">, primera edición, 2026, capítulo 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2026-05-12T09:15:47Z</dcterms:created>
  <dcterms:modified xsi:type="dcterms:W3CDTF">2026-05-12T09:15:47Z</dcterms:modified>
</cp:coreProperties>
</file>

<file path=docProps/custom.xml><?xml version="1.0" encoding="utf-8"?>
<Properties xmlns="http://schemas.openxmlformats.org/officeDocument/2006/custom-properties" xmlns:vt="http://schemas.openxmlformats.org/officeDocument/2006/docPropsVTypes"/>
</file>